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xzor6w7k17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ETTQ Code of Conduct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(Must Read And Understand Before Participating)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Vision: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ETTQ was created to empower women through sports — giving us a space to grow stronger, take a break from the day, and set a positive example for our future young ladies in East Texas.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an amazing opportunity that can take our young ladies far and build a legacy that lasts for years to come.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the starting team, creating something truly special.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keep this vision alive, all participants must uphold the following Code of Conduct: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ufsq7efxylh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Respect Above All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offensive language, disrespect, or negative behavior toward players, coaches, referees, media, volunteers, or security.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Bullying, name-calling, or aggressive physical contact will not be tolerated.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7l0znp24piw6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Communication &amp; Chain of Command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questions, concerns, or frustrations should be directed to your coach.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Coaches will communicate with referees or league officials as needed.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Players are not to confront referees directly.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6zcp9ii6l8g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Social Media &amp; Public Conduct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negative or harmful posts about ETTQ, its teams, or officials on social media.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Healthy rivalry and game banter are welcome — but keep it respectful.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official complaints must be submitted through your coach for review.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4rgzbibg1ve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Safety &amp; Game Environment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Players are responsible for ensuring their children are properly supervised or old enough to remain safe.</w:t>
        <w:br w:type="textWrapping"/>
        <w:br w:type="textWrapping"/>
        <w:t xml:space="preserve"> We want to keep all children free from injury and safe at all times.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children are allowed near sidelines to prevent injury and maintain smooth game operations.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Players must stay clear of referee run paths and sideline zones.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respect the referees’ authority — they are committed to ensuring fair, quality games.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52oq3dgvdzr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Accountability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Any violation of this Code of Conduct may result in immediate removal from ETTQ for the remainder of the season, with no eligibility for future participation.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acknowledge that I have read, understand, and agree to abide by the ETTQ Code of Conduct. I understand that my behavior reflects not only on me but also on the ETTQ community and its mission.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